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792000" cy="792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titan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792000" cy="792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Condiciones comerciales TITÁN Web</w:t>
      </w:r>
    </w:p>
    <w:p>
      <w:r>
        <w:t>Condiciones del catálogo comercial 1.0 y servicios complementarios. Información comercial para preparar una propuesta; el contrato definitivo debe revisarse jurídicamente y firmarse.</w:t>
      </w:r>
    </w:p>
    <w:p>
      <w:r>
        <w:t>Hosting valorado en 39 €/año, incluido en todos los planes sin coste adicional. Dominio propio con SSL: 30 €/año, IVA incluido; renovación anual por el mismo importe. El subdominio TITÁN con SSL está incluido sin coste adicional.</w:t>
      </w:r>
    </w:p>
    <w:p>
      <w:pPr>
        <w:pStyle w:val="Heading1"/>
      </w:pPr>
      <w:r>
        <w:t>Precios y pago</w:t>
      </w:r>
    </w:p>
    <w:p>
      <w:r>
        <w:t>Todos los precios incluyen IVA del 21 %. El precio de creación incluye la primera mensualidad de mantenimiento. Se abona el 50 % de la creación al contratar y el 50 % restante después de aprobar el trabajo, antes de publicar. El mantenimiento se cobra desde el segundo mes.</w:t>
      </w:r>
    </w:p>
    <w:p>
      <w:pPr>
        <w:pStyle w:val="Heading1"/>
      </w:pPr>
      <w:r>
        <w:t>Plazos y revisiones</w:t>
      </w:r>
    </w:p>
    <w:p>
      <w:r>
        <w:t>Los plazos objetivo son 7, 14, 21 y 30 días naturales según el plan. Comienzan al recibir el anticipo, los materiales y la información necesaria. Los retrasos del cliente pueden modificar el calendario. Las revisiones cubren cambios dentro del alcance contratado, no nuevas páginas, funcionalidades ni un rediseño completo.</w:t>
      </w:r>
    </w:p>
    <w:p>
      <w:pPr>
        <w:pStyle w:val="Heading1"/>
      </w:pPr>
      <w:r>
        <w:t>Hosting y dominio</w:t>
      </w:r>
    </w:p>
    <w:p>
      <w:r>
        <w:t>Hosting valorado en 39 €/año, incluido en todos los planes sin coste adicional. Dominio propio con SSL: 30 €/año, IVA incluido; renovación anual por el mismo importe. El subdominio TITÁN con SSL está incluido sin coste adicional.</w:t>
      </w:r>
    </w:p>
    <w:p>
      <w:pPr>
        <w:pStyle w:val="Heading1"/>
      </w:pPr>
      <w:r>
        <w:t>Permanencia y cancelación</w:t>
      </w:r>
    </w:p>
    <w:p>
      <w:r>
        <w:t>Con dominio propio, el compromiso inicial es de seis meses; al finalizar ese periodo puede solicitarse la baja. Con subdominio TITÁN, la web permanece publicada mientras se mantenga contratado el alojamiento y mantenimiento. La fecha de inicio, el preaviso y el procedimiento de baja se concretarán en el contrato.</w:t>
      </w:r>
    </w:p>
    <w:p>
      <w:pPr>
        <w:pStyle w:val="Heading1"/>
      </w:pPr>
      <w:r>
        <w:t>Migración</w:t>
      </w:r>
    </w:p>
    <w:p>
      <w:r>
        <w:t>El servicio técnico estándar de migración al finalizar el contrato cuesta 50 € con IVA incluido. No sustituye la entrega de datos o contenidos a la que el cliente tenga derecho ni incluye costes del nuevo proveedor.</w:t>
      </w:r>
    </w:p>
    <w:p>
      <w:pPr>
        <w:pStyle w:val="Heading1"/>
      </w:pPr>
      <w:r>
        <w:t>Mantenimiento</w:t>
      </w:r>
    </w:p>
    <w:p>
      <w:r>
        <w:t>Incluye hosting (valorado en 39 €/año, sin coste adicional), SSL, actualizaciones técnicas, copias de seguridad y los límites de cambios menores y soporte de cada plan. Los cambios menores afectan al contenido existente; no incluyen nuevas páginas, rediseños ni desarrollos.</w:t>
      </w:r>
    </w:p>
    <w:p>
      <w:pPr>
        <w:pStyle w:val="Heading1"/>
      </w:pPr>
      <w:r>
        <w:t>Trabajos adicionales</w:t>
      </w:r>
    </w:p>
    <w:p>
      <w:r>
        <w:t>Se valoran individualmente y requieren aprobación del presupuesto antes de ejecutarse. Se comunican en el resumen de trabajos de final de mes. Las funciones U adicionales tienen tarifa estándar de 100 €, salvo tarifa específica. Las C adicionales se presupuestan individualmente.</w:t>
      </w:r>
    </w:p>
    <w:p>
      <w:pPr>
        <w:pStyle w:val="Heading1"/>
      </w:pPr>
      <w:r>
        <w:t>Servicios mensuales y terceros</w:t>
      </w:r>
    </w:p>
    <w:p>
      <w:r>
        <w:t>Gestión de campañas: 150 €/mes, con inversión publicitaria aparte. Reservas gestionadas: 25 €/mes. Licencias, consumos y servicios externos se informan antes de contratarlos. El primer cobro de estos servicios adicionales debe concretarse en la propuesta; la mensualidad incluida del plan corresponde al mantenimiento.</w:t>
      </w:r>
    </w:p>
    <w:p>
      <w:pPr>
        <w:pStyle w:val="Heading1"/>
      </w:pPr>
      <w:r>
        <w:t>Contenidos y propiedad</w:t>
      </w:r>
    </w:p>
    <w:p>
      <w:r>
        <w:t>El cliente aporta textos, imágenes, logotipos y datos empresariales con los derechos de uso correspondientes. TITÁN adapta su presentación. En renovaciones, la web anterior sirve como referencia. Migración de contenidos, cambios de URL y redirecciones SEO solo se incluyen si figuran en el alcance. Los derechos sobre diseño, código, componentes reutilizables, licencias y exportación se detallarán en el contrato.</w:t>
      </w:r>
    </w:p>
    <w:p>
      <w:pPr>
        <w:pStyle w:val="Heading1"/>
      </w:pPr>
      <w:r>
        <w:t>Impresión y personalización</w:t>
      </w:r>
    </w:p>
    <w:p>
      <w:r>
        <w:t>La impresión y ropa personalizada se presupuestan según cantidades, materiales, acabados, prendas, tallas, colores y técnica. Los envíos se detallan en la propuesta. La distribución física no está incluida. Los precios de diseño digital incluyen preparación y entrega en el formato acordado.</w:t>
      </w:r>
    </w:p>
    <w:p>
      <w:pPr>
        <w:pStyle w:val="Heading1"/>
      </w:pPr>
      <w:r>
        <w:t>Validación del contrato</w:t>
      </w:r>
    </w:p>
    <w:p>
      <w:r>
        <w:t>Los documentos generados son presupuestos, proformas y borradores editables. No son facturas fiscales ni contratos firmados. El contrato requiere completar los datos, cerrar el alcance técnico y revisar jurídicamente permanencia, propiedad intelectual, protección de datos y condiciones de salida antes de firmar.</w:t>
      </w:r>
    </w:p>
    <w:p>
      <w:pPr>
        <w:pStyle w:val="Heading1"/>
      </w:pPr>
      <w:r>
        <w:t>Diseño gráfico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Servicio</w:t>
            </w:r>
          </w:p>
        </w:tc>
        <w:tc>
          <w:tcPr>
            <w:tcW w:type="dxa" w:w="4933"/>
          </w:tcPr>
          <w:p>
            <w:r>
              <w:t>IVA incluido</w:t>
            </w:r>
          </w:p>
        </w:tc>
      </w:tr>
      <w:tr>
        <w:tc>
          <w:tcPr>
            <w:tcW w:type="dxa" w:w="4933"/>
          </w:tcPr>
          <w:p>
            <w:r>
              <w:t>Rediseño de logotipo basado en uno anterior</w:t>
            </w:r>
          </w:p>
        </w:tc>
        <w:tc>
          <w:tcPr>
            <w:tcW w:type="dxa" w:w="4933"/>
          </w:tcPr>
          <w:p>
            <w:r>
              <w:t>100 €</w:t>
            </w:r>
          </w:p>
        </w:tc>
      </w:tr>
      <w:tr>
        <w:tc>
          <w:tcPr>
            <w:tcW w:type="dxa" w:w="4933"/>
          </w:tcPr>
          <w:p>
            <w:r>
              <w:t>Diseño de cartel DIN A3</w:t>
            </w:r>
          </w:p>
        </w:tc>
        <w:tc>
          <w:tcPr>
            <w:tcW w:type="dxa" w:w="4933"/>
          </w:tcPr>
          <w:p>
            <w:r>
              <w:t>20 €</w:t>
            </w:r>
          </w:p>
        </w:tc>
      </w:tr>
      <w:tr>
        <w:tc>
          <w:tcPr>
            <w:tcW w:type="dxa" w:w="4933"/>
          </w:tcPr>
          <w:p>
            <w:r>
              <w:t>Diseño de flyer DIN A6 · una cara</w:t>
            </w:r>
          </w:p>
        </w:tc>
        <w:tc>
          <w:tcPr>
            <w:tcW w:type="dxa" w:w="4933"/>
          </w:tcPr>
          <w:p>
            <w:r>
              <w:t>10 €</w:t>
            </w:r>
          </w:p>
        </w:tc>
      </w:tr>
      <w:tr>
        <w:tc>
          <w:tcPr>
            <w:tcW w:type="dxa" w:w="4933"/>
          </w:tcPr>
          <w:p>
            <w:r>
              <w:t>Diseño de flyer DIN A6 · dos caras</w:t>
            </w:r>
          </w:p>
        </w:tc>
        <w:tc>
          <w:tcPr>
            <w:tcW w:type="dxa" w:w="4933"/>
          </w:tcPr>
          <w:p>
            <w:r>
              <w:t>15 €</w:t>
            </w:r>
          </w:p>
        </w:tc>
      </w:tr>
      <w:tr>
        <w:tc>
          <w:tcPr>
            <w:tcW w:type="dxa" w:w="4933"/>
          </w:tcPr>
          <w:p>
            <w:r>
              <w:t>Diseño de flyer DIN A7 · una cara</w:t>
            </w:r>
          </w:p>
        </w:tc>
        <w:tc>
          <w:tcPr>
            <w:tcW w:type="dxa" w:w="4933"/>
          </w:tcPr>
          <w:p>
            <w:r>
              <w:t>15 €</w:t>
            </w:r>
          </w:p>
        </w:tc>
      </w:tr>
    </w:tbl>
    <w:p>
      <w:pPr>
        <w:pStyle w:val="Heading1"/>
      </w:pPr>
      <w:r>
        <w:t>Impresión y personalización</w:t>
      </w:r>
    </w:p>
    <w:tbl>
      <w:tblPr>
        <w:tblStyle w:val="LightShading-Accent1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r>
              <w:t>Servicio</w:t>
            </w:r>
          </w:p>
        </w:tc>
        <w:tc>
          <w:tcPr>
            <w:tcW w:type="dxa" w:w="4933"/>
          </w:tcPr>
          <w:p>
            <w:r>
              <w:t>Precio</w:t>
            </w:r>
          </w:p>
        </w:tc>
      </w:tr>
      <w:tr>
        <w:tc>
          <w:tcPr>
            <w:tcW w:type="dxa" w:w="4933"/>
          </w:tcPr>
          <w:p>
            <w:r>
              <w:t>Diseño e impresión de carteles DIN A3 · hasta 5 unidades</w:t>
            </w:r>
          </w:p>
        </w:tc>
        <w:tc>
          <w:tcPr>
            <w:tcW w:type="dxa" w:w="4933"/>
          </w:tcPr>
          <w:p>
            <w:r>
              <w:t>A presupuestar</w:t>
            </w:r>
          </w:p>
        </w:tc>
      </w:tr>
      <w:tr>
        <w:tc>
          <w:tcPr>
            <w:tcW w:type="dxa" w:w="4933"/>
          </w:tcPr>
          <w:p>
            <w:r>
              <w:t>Diseño e impresión de flyers DIN A6 · 100 unidades</w:t>
            </w:r>
          </w:p>
        </w:tc>
        <w:tc>
          <w:tcPr>
            <w:tcW w:type="dxa" w:w="4933"/>
          </w:tcPr>
          <w:p>
            <w:r>
              <w:t>A presupuestar</w:t>
            </w:r>
          </w:p>
        </w:tc>
      </w:tr>
      <w:tr>
        <w:tc>
          <w:tcPr>
            <w:tcW w:type="dxa" w:w="4933"/>
          </w:tcPr>
          <w:p>
            <w:r>
              <w:t>Diseño e impresión de flyers DIN A7 · 104 unidades</w:t>
            </w:r>
          </w:p>
        </w:tc>
        <w:tc>
          <w:tcPr>
            <w:tcW w:type="dxa" w:w="4933"/>
          </w:tcPr>
          <w:p>
            <w:r>
              <w:t>A presupuestar</w:t>
            </w:r>
          </w:p>
        </w:tc>
      </w:tr>
      <w:tr>
        <w:tc>
          <w:tcPr>
            <w:tcW w:type="dxa" w:w="4933"/>
          </w:tcPr>
          <w:p>
            <w:r>
              <w:t>Ropa de trabajo serigrafiada y personalizada</w:t>
            </w:r>
          </w:p>
        </w:tc>
        <w:tc>
          <w:tcPr>
            <w:tcW w:type="dxa" w:w="4933"/>
          </w:tcPr>
          <w:p>
            <w:r>
              <w:t>A presupuestar</w:t>
            </w:r>
          </w:p>
        </w:tc>
      </w:tr>
    </w:tbl>
    <w:p>
      <w:r>
        <w:t>Información y configuración del presupuesto: http://diseno-web.vtxairsoft.com/</w:t>
      </w:r>
    </w:p>
    <w:p>
      <w:r>
        <w:drawing>
          <wp:inline xmlns:a="http://schemas.openxmlformats.org/drawingml/2006/main" xmlns:pic="http://schemas.openxmlformats.org/drawingml/2006/picture">
            <wp:extent cx="900000" cy="900000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q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900000" cy="900000"/>
                    </a:xfrm>
                    <a:prstGeom prst="rect"/>
                  </pic:spPr>
                </pic:pic>
              </a:graphicData>
            </a:graphic>
          </wp:inline>
        </w:drawing>
      </w:r>
    </w:p>
    <w:sectPr w:rsidR="00FC693F" w:rsidRPr="0006063C" w:rsidSect="00034616">
      <w:pgSz w:w="11906" w:h="16838"/>
      <w:pgMar w:top="964" w:right="1020" w:bottom="964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/>
    </w:pPr>
    <w:rPr>
      <w:rFonts w:ascii="Calibri" w:hAnsi="Calibr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