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ta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Selección de funcionalidades para PYMES</w:t>
      </w:r>
    </w:p>
    <w:p>
      <w:r>
        <w:t>Selección editorial de diez funciones U y diez C para conversaciones comerciales. No es una clasificación basada en estadísticas de ventas. Importes con IVA incluido.</w:t>
      </w:r>
    </w:p>
    <w:p>
      <w:r>
        <w:t>Hosting valorado en 39 €/año, incluido en todos los planes sin coste adicional. Dominio propio con SSL: 30 €/año, IVA incluido; renovación anual por el mismo importe. El subdominio TITÁN con SSL está incluido sin coste adicional.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Función U</w:t>
            </w:r>
          </w:p>
        </w:tc>
        <w:tc>
          <w:tcPr>
            <w:tcW w:type="dxa" w:w="4933"/>
          </w:tcPr>
          <w:p>
            <w:r>
              <w:t>Tarifa</w:t>
            </w:r>
          </w:p>
        </w:tc>
      </w:tr>
      <w:tr>
        <w:tc>
          <w:tcPr>
            <w:tcW w:type="dxa" w:w="4933"/>
          </w:tcPr>
          <w:p>
            <w:r>
              <w:t>QR personalizado estático</w:t>
            </w:r>
          </w:p>
        </w:tc>
        <w:tc>
          <w:tcPr>
            <w:tcW w:type="dxa" w:w="4933"/>
          </w:tcPr>
          <w:p>
            <w:r>
              <w:t>30 €</w:t>
            </w:r>
          </w:p>
        </w:tc>
      </w:tr>
      <w:tr>
        <w:tc>
          <w:tcPr>
            <w:tcW w:type="dxa" w:w="4933"/>
          </w:tcPr>
          <w:p>
            <w:r>
              <w:t>QR dinámico</w:t>
            </w:r>
          </w:p>
        </w:tc>
        <w:tc>
          <w:tcPr>
            <w:tcW w:type="dxa" w:w="4933"/>
          </w:tcPr>
          <w:p>
            <w:r>
              <w:t>60 €</w:t>
            </w:r>
          </w:p>
        </w:tc>
      </w:tr>
      <w:tr>
        <w:tc>
          <w:tcPr>
            <w:tcW w:type="dxa" w:w="4933"/>
          </w:tcPr>
          <w:p>
            <w:r>
              <w:t>Carta digital QR</w:t>
            </w:r>
          </w:p>
        </w:tc>
        <w:tc>
          <w:tcPr>
            <w:tcW w:type="dxa" w:w="4933"/>
          </w:tcPr>
          <w:p>
            <w:r>
              <w:t>100 €</w:t>
            </w:r>
          </w:p>
        </w:tc>
      </w:tr>
      <w:tr>
        <w:tc>
          <w:tcPr>
            <w:tcW w:type="dxa" w:w="4933"/>
          </w:tcPr>
          <w:p>
            <w:r>
              <w:t>Catálogo digital</w:t>
            </w:r>
          </w:p>
        </w:tc>
        <w:tc>
          <w:tcPr>
            <w:tcW w:type="dxa" w:w="4933"/>
          </w:tcPr>
          <w:p>
            <w:r>
              <w:t>100 €</w:t>
            </w:r>
          </w:p>
        </w:tc>
      </w:tr>
      <w:tr>
        <w:tc>
          <w:tcPr>
            <w:tcW w:type="dxa" w:w="4933"/>
          </w:tcPr>
          <w:p>
            <w:r>
              <w:t>Formulario avanzado</w:t>
            </w:r>
          </w:p>
        </w:tc>
        <w:tc>
          <w:tcPr>
            <w:tcW w:type="dxa" w:w="4933"/>
          </w:tcPr>
          <w:p>
            <w:r>
              <w:t>100 €</w:t>
            </w:r>
          </w:p>
        </w:tc>
      </w:tr>
      <w:tr>
        <w:tc>
          <w:tcPr>
            <w:tcW w:type="dxa" w:w="4933"/>
          </w:tcPr>
          <w:p>
            <w:r>
              <w:t>Portfolio de proyectos</w:t>
            </w:r>
          </w:p>
        </w:tc>
        <w:tc>
          <w:tcPr>
            <w:tcW w:type="dxa" w:w="4933"/>
          </w:tcPr>
          <w:p>
            <w:r>
              <w:t>100 €</w:t>
            </w:r>
          </w:p>
        </w:tc>
      </w:tr>
      <w:tr>
        <w:tc>
          <w:tcPr>
            <w:tcW w:type="dxa" w:w="4933"/>
          </w:tcPr>
          <w:p>
            <w:r>
              <w:t>Sección de noticias / blog</w:t>
            </w:r>
          </w:p>
        </w:tc>
        <w:tc>
          <w:tcPr>
            <w:tcW w:type="dxa" w:w="4933"/>
          </w:tcPr>
          <w:p>
            <w:r>
              <w:t>100 €</w:t>
            </w:r>
          </w:p>
        </w:tc>
      </w:tr>
      <w:tr>
        <w:tc>
          <w:tcPr>
            <w:tcW w:type="dxa" w:w="4933"/>
          </w:tcPr>
          <w:p>
            <w:r>
              <w:t>Formulario de presupuestos</w:t>
            </w:r>
          </w:p>
        </w:tc>
        <w:tc>
          <w:tcPr>
            <w:tcW w:type="dxa" w:w="4933"/>
          </w:tcPr>
          <w:p>
            <w:r>
              <w:t>100 €</w:t>
            </w:r>
          </w:p>
        </w:tc>
      </w:tr>
      <w:tr>
        <w:tc>
          <w:tcPr>
            <w:tcW w:type="dxa" w:w="4933"/>
          </w:tcPr>
          <w:p>
            <w:r>
              <w:t>Configuración SEO local inicial</w:t>
            </w:r>
          </w:p>
        </w:tc>
        <w:tc>
          <w:tcPr>
            <w:tcW w:type="dxa" w:w="4933"/>
          </w:tcPr>
          <w:p>
            <w:r>
              <w:t>100 €</w:t>
            </w:r>
          </w:p>
        </w:tc>
      </w:tr>
      <w:tr>
        <w:tc>
          <w:tcPr>
            <w:tcW w:type="dxa" w:w="4933"/>
          </w:tcPr>
          <w:p>
            <w:r>
              <w:t>QR de reseñas Google</w:t>
            </w:r>
          </w:p>
        </w:tc>
        <w:tc>
          <w:tcPr>
            <w:tcW w:type="dxa" w:w="4933"/>
          </w:tcPr>
          <w:p>
            <w:r>
              <w:t>40 €</w:t>
            </w:r>
          </w:p>
        </w:tc>
      </w:tr>
    </w:tbl>
    <w:p>
      <w:pPr>
        <w:pStyle w:val="Heading1"/>
      </w:pPr>
      <w:r>
        <w:t>Diez funciones complejas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Función C</w:t>
            </w:r>
          </w:p>
        </w:tc>
        <w:tc>
          <w:tcPr>
            <w:tcW w:type="dxa" w:w="4933"/>
          </w:tcPr>
          <w:p>
            <w:r>
              <w:t>Condición</w:t>
            </w:r>
          </w:p>
        </w:tc>
      </w:tr>
      <w:tr>
        <w:tc>
          <w:tcPr>
            <w:tcW w:type="dxa" w:w="4933"/>
          </w:tcPr>
          <w:p>
            <w:r>
              <w:t>Reservas online sencillas</w:t>
            </w:r>
          </w:p>
        </w:tc>
        <w:tc>
          <w:tcPr>
            <w:tcW w:type="dxa" w:w="4933"/>
          </w:tcPr>
          <w:p>
            <w:r>
              <w:t>Elegible como C estándar incluida en Premium</w:t>
            </w:r>
          </w:p>
        </w:tc>
      </w:tr>
      <w:tr>
        <w:tc>
          <w:tcPr>
            <w:tcW w:type="dxa" w:w="4933"/>
          </w:tcPr>
          <w:p>
            <w:r>
              <w:t>Agenda de citas</w:t>
            </w:r>
          </w:p>
        </w:tc>
        <w:tc>
          <w:tcPr>
            <w:tcW w:type="dxa" w:w="4933"/>
          </w:tcPr>
          <w:p>
            <w:r>
              <w:t>Elegible como C estándar incluida en Premium</w:t>
            </w:r>
          </w:p>
        </w:tc>
      </w:tr>
      <w:tr>
        <w:tc>
          <w:tcPr>
            <w:tcW w:type="dxa" w:w="4933"/>
          </w:tcPr>
          <w:p>
            <w:r>
              <w:t>Área privada básica de clientes</w:t>
            </w:r>
          </w:p>
        </w:tc>
        <w:tc>
          <w:tcPr>
            <w:tcW w:type="dxa" w:w="4933"/>
          </w:tcPr>
          <w:p>
            <w:r>
              <w:t>Elegible como C estándar incluida en Premium</w:t>
            </w:r>
          </w:p>
        </w:tc>
      </w:tr>
      <w:tr>
        <w:tc>
          <w:tcPr>
            <w:tcW w:type="dxa" w:w="4933"/>
          </w:tcPr>
          <w:p>
            <w:r>
              <w:t>Catálogo con solicitudes de presupuesto</w:t>
            </w:r>
          </w:p>
        </w:tc>
        <w:tc>
          <w:tcPr>
            <w:tcW w:type="dxa" w:w="4933"/>
          </w:tcPr>
          <w:p>
            <w:r>
              <w:t>Elegible como C estándar incluida en Premium</w:t>
            </w:r>
          </w:p>
        </w:tc>
      </w:tr>
      <w:tr>
        <w:tc>
          <w:tcPr>
            <w:tcW w:type="dxa" w:w="4933"/>
          </w:tcPr>
          <w:p>
            <w:r>
              <w:t>Sistema sencillo de fidelización</w:t>
            </w:r>
          </w:p>
        </w:tc>
        <w:tc>
          <w:tcPr>
            <w:tcW w:type="dxa" w:w="4933"/>
          </w:tcPr>
          <w:p>
            <w:r>
              <w:t>Elegible como C estándar incluida en Premium</w:t>
            </w:r>
          </w:p>
        </w:tc>
      </w:tr>
      <w:tr>
        <w:tc>
          <w:tcPr>
            <w:tcW w:type="dxa" w:w="4933"/>
          </w:tcPr>
          <w:p>
            <w:r>
              <w:t>Panel de seguimiento de solicitudes</w:t>
            </w:r>
          </w:p>
        </w:tc>
        <w:tc>
          <w:tcPr>
            <w:tcW w:type="dxa" w:w="4933"/>
          </w:tcPr>
          <w:p>
            <w:r>
              <w:t>Elegible como C estándar incluida en Premium</w:t>
            </w:r>
          </w:p>
        </w:tc>
      </w:tr>
      <w:tr>
        <w:tc>
          <w:tcPr>
            <w:tcW w:type="dxa" w:w="4933"/>
          </w:tcPr>
          <w:p>
            <w:r>
              <w:t>Tienda online básica</w:t>
            </w:r>
          </w:p>
        </w:tc>
        <w:tc>
          <w:tcPr>
            <w:tcW w:type="dxa" w:w="4933"/>
          </w:tcPr>
          <w:p>
            <w:r>
              <w:t>Presupuesto individual</w:t>
            </w:r>
          </w:p>
        </w:tc>
      </w:tr>
      <w:tr>
        <w:tc>
          <w:tcPr>
            <w:tcW w:type="dxa" w:w="4933"/>
          </w:tcPr>
          <w:p>
            <w:r>
              <w:t>Gestión de inventario</w:t>
            </w:r>
          </w:p>
        </w:tc>
        <w:tc>
          <w:tcPr>
            <w:tcW w:type="dxa" w:w="4933"/>
          </w:tcPr>
          <w:p>
            <w:r>
              <w:t>Presupuesto individual</w:t>
            </w:r>
          </w:p>
        </w:tc>
      </w:tr>
      <w:tr>
        <w:tc>
          <w:tcPr>
            <w:tcW w:type="dxa" w:w="4933"/>
          </w:tcPr>
          <w:p>
            <w:r>
              <w:t>Venta de entradas con QR</w:t>
            </w:r>
          </w:p>
        </w:tc>
        <w:tc>
          <w:tcPr>
            <w:tcW w:type="dxa" w:w="4933"/>
          </w:tcPr>
          <w:p>
            <w:r>
              <w:t>Presupuesto individual</w:t>
            </w:r>
          </w:p>
        </w:tc>
      </w:tr>
      <w:tr>
        <w:tc>
          <w:tcPr>
            <w:tcW w:type="dxa" w:w="4933"/>
          </w:tcPr>
          <w:p>
            <w:r>
              <w:t>Generador de presupuestos</w:t>
            </w:r>
          </w:p>
        </w:tc>
        <w:tc>
          <w:tcPr>
            <w:tcW w:type="dxa" w:w="4933"/>
          </w:tcPr>
          <w:p>
            <w:r>
              <w:t>Presupuesto individual</w:t>
            </w:r>
          </w:p>
        </w:tc>
      </w:tr>
    </w:tbl>
    <w:p>
      <w:r>
        <w:t>Toda C adicional se presupuesta individualmente. El alcance y los límites técnicos se concretan en la propuesta.</w:t>
      </w:r>
    </w:p>
    <w:p>
      <w:r>
        <w:t>Información y configuración del presupuesto: http://diseno-web.vtxairsoft.com/</w:t>
      </w:r>
    </w:p>
    <w:p>
      <w:r>
        <w:drawing>
          <wp:inline xmlns:a="http://schemas.openxmlformats.org/drawingml/2006/main" xmlns:pic="http://schemas.openxmlformats.org/drawingml/2006/picture">
            <wp:extent cx="900000" cy="9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